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1440"/>
        </w:tabs>
        <w:spacing w:line="600" w:lineRule="exact"/>
        <w:rPr>
          <w:rFonts w:ascii="宋体" w:eastAsia="宋体"/>
          <w:sz w:val="30"/>
          <w:szCs w:val="30"/>
        </w:rPr>
      </w:pPr>
    </w:p>
    <w:p>
      <w:pPr>
        <w:pStyle w:val="10"/>
        <w:spacing w:line="578" w:lineRule="exact"/>
        <w:jc w:val="center"/>
        <w:rPr>
          <w:rFonts w:hint="eastAsia" w:ascii="方正小标宋简体" w:eastAsia="方正小标宋简体" w:cs="宋体"/>
          <w:sz w:val="44"/>
          <w:szCs w:val="44"/>
        </w:rPr>
      </w:pPr>
      <w:r>
        <w:rPr>
          <w:rFonts w:hint="eastAsia" w:ascii="方正小标宋简体" w:eastAsia="方正小标宋简体" w:cs="宋体"/>
          <w:sz w:val="44"/>
          <w:szCs w:val="44"/>
        </w:rPr>
        <w:t>大熊猫国家公园阿坝片区</w:t>
      </w:r>
    </w:p>
    <w:p>
      <w:pPr>
        <w:pStyle w:val="10"/>
        <w:spacing w:line="578" w:lineRule="exact"/>
        <w:jc w:val="center"/>
        <w:rPr>
          <w:rFonts w:hint="eastAsia" w:ascii="方正小标宋简体" w:eastAsia="方正小标宋简体"/>
          <w:sz w:val="44"/>
          <w:szCs w:val="44"/>
        </w:rPr>
      </w:pPr>
      <w:r>
        <w:rPr>
          <w:rFonts w:hint="eastAsia" w:ascii="方正小标宋简体" w:eastAsia="方正小标宋简体" w:cs="宋体"/>
          <w:sz w:val="44"/>
          <w:szCs w:val="44"/>
        </w:rPr>
        <w:t>规划</w:t>
      </w:r>
      <w:r>
        <w:rPr>
          <w:rFonts w:hint="eastAsia" w:ascii="方正小标宋简体" w:eastAsia="方正小标宋简体"/>
          <w:sz w:val="44"/>
          <w:szCs w:val="44"/>
        </w:rPr>
        <w:t>项目支出绩效自评报告范本</w:t>
      </w:r>
    </w:p>
    <w:p>
      <w:pPr>
        <w:pStyle w:val="10"/>
        <w:spacing w:line="578" w:lineRule="exact"/>
        <w:ind w:firstLine="640"/>
        <w:jc w:val="center"/>
        <w:rPr>
          <w:rFonts w:hint="eastAsia" w:ascii="宋体"/>
          <w:color w:val="auto"/>
          <w:kern w:val="2"/>
          <w:sz w:val="32"/>
          <w:szCs w:val="32"/>
        </w:rPr>
      </w:pPr>
    </w:p>
    <w:p>
      <w:pPr>
        <w:adjustRightInd w:val="0"/>
        <w:snapToGrid w:val="0"/>
        <w:spacing w:line="578" w:lineRule="exact"/>
        <w:ind w:firstLine="720"/>
      </w:pPr>
      <w:r>
        <w:rPr>
          <w:rFonts w:hint="eastAsia" w:ascii="黑体" w:eastAsia="黑体"/>
        </w:rPr>
        <w:t>一、</w:t>
      </w:r>
      <w:r>
        <w:rPr>
          <w:rFonts w:hint="eastAsia" w:ascii="黑体" w:eastAsia="黑体"/>
          <w:lang w:val="zh-CN"/>
        </w:rPr>
        <w:t>项目概况</w:t>
      </w:r>
    </w:p>
    <w:p>
      <w:pPr>
        <w:adjustRightInd w:val="0"/>
        <w:snapToGrid w:val="0"/>
        <w:spacing w:line="578" w:lineRule="exact"/>
        <w:ind w:firstLine="720"/>
        <w:rPr>
          <w:rFonts w:hint="eastAsia" w:ascii="仿宋_GB2312"/>
        </w:rPr>
      </w:pPr>
      <w:r>
        <w:rPr>
          <w:rFonts w:hint="eastAsia" w:ascii="仿宋_GB2312"/>
        </w:rPr>
        <w:t>2022年1月，大熊猫国家公园阿坝管理分局成立编制服务采购领导小组，3月委托代理机构采取竞争性磋商的采购方式确定了国家林业和草原局调查规划院承担规划编制工作。经实地调查，在分析研判《大熊猫国家公园总体规划（试行）》的基础上，结合阿坝片区实际，科学谋划了大熊猫国家公园阿坝片区总规和2022年-2030年项目规划，编制单位于9月形成了《规划（初稿）》。大熊猫国家公园阿坝管理分局及汶川、茂县、松潘、九寨沟县林草局结合实际提出修改意见建议，并征求州级相关部门、相关县人民政府意见后，编制单位多次修改完善后于2023年6月送专家评审。</w:t>
      </w:r>
    </w:p>
    <w:p>
      <w:pPr>
        <w:spacing w:line="578" w:lineRule="exact"/>
        <w:ind w:firstLine="643" w:firstLineChars="200"/>
        <w:rPr>
          <w:rFonts w:ascii="仿宋_GB2312"/>
        </w:rPr>
      </w:pPr>
      <w:r>
        <w:rPr>
          <w:rFonts w:hint="eastAsia" w:ascii="楷体_GB2312" w:eastAsia="楷体_GB2312"/>
          <w:b/>
          <w:lang w:val="zh-CN"/>
        </w:rPr>
        <w:t>（一）项目资金申报及批复情况。</w:t>
      </w:r>
      <w:r>
        <w:rPr>
          <w:rFonts w:hint="eastAsia" w:ascii="仿宋_GB2312"/>
          <w:color w:val="000000"/>
        </w:rPr>
        <w:t>为高质量推进大熊猫国家公园阿坝片区建设，依据</w:t>
      </w:r>
      <w:r>
        <w:rPr>
          <w:rFonts w:hint="eastAsia" w:ascii="仿宋_GB2312" w:cs="宋体"/>
          <w:color w:val="000000"/>
        </w:rPr>
        <w:t>《国家主体功能区规划》、《全国重要生态系统保护和修复重大工程总体规划（2021-2035）》、《大熊猫国家公园总体规划》以及《大熊猫国家公园四川片区总体规划》等，编制《大熊猫国家公园阿坝片区规划》。</w:t>
      </w:r>
    </w:p>
    <w:p>
      <w:pPr>
        <w:adjustRightInd w:val="0"/>
        <w:snapToGrid w:val="0"/>
        <w:spacing w:line="578" w:lineRule="exact"/>
        <w:ind w:firstLine="720"/>
        <w:rPr>
          <w:rFonts w:hint="eastAsia" w:ascii="仿宋_GB2312"/>
          <w:lang w:val="zh-CN"/>
        </w:rPr>
      </w:pPr>
      <w:r>
        <w:rPr>
          <w:rFonts w:hint="eastAsia" w:ascii="楷体_GB2312" w:eastAsia="楷体_GB2312"/>
          <w:b/>
          <w:lang w:val="zh-CN"/>
        </w:rPr>
        <w:t>（二）项目绩效目标。</w:t>
      </w:r>
      <w:r>
        <w:rPr>
          <w:rFonts w:hint="eastAsia" w:ascii="仿宋_GB2312"/>
        </w:rPr>
        <w:t>《规划</w:t>
      </w:r>
      <w:r>
        <w:rPr>
          <w:rFonts w:hint="eastAsia" w:ascii="仿宋_GB2312" w:cs="Courier New"/>
        </w:rPr>
        <w:t>（征求意见稿）</w:t>
      </w:r>
      <w:r>
        <w:rPr>
          <w:rFonts w:hint="eastAsia" w:ascii="仿宋_GB2312"/>
        </w:rPr>
        <w:t>》共</w:t>
      </w:r>
      <w:r>
        <w:rPr>
          <w:rFonts w:hint="eastAsia" w:ascii="仿宋_GB2312"/>
          <w:color w:val="000000"/>
        </w:rPr>
        <w:t>12</w:t>
      </w:r>
      <w:r>
        <w:rPr>
          <w:rFonts w:hint="eastAsia" w:ascii="仿宋_GB2312"/>
        </w:rPr>
        <w:t>章、共</w:t>
      </w:r>
      <w:r>
        <w:rPr>
          <w:rFonts w:hint="eastAsia" w:ascii="仿宋_GB2312"/>
          <w:color w:val="000000"/>
        </w:rPr>
        <w:t>47</w:t>
      </w:r>
      <w:r>
        <w:rPr>
          <w:rFonts w:hint="eastAsia" w:ascii="仿宋_GB2312"/>
        </w:rPr>
        <w:t>节。依据大熊猫国家公园阿坝片区规划分期、保护管理目标和需求，提出近、远分期建设计划。</w:t>
      </w:r>
      <w:r>
        <w:rPr>
          <w:rFonts w:hint="eastAsia" w:ascii="仿宋_GB2312"/>
          <w:color w:val="000000"/>
        </w:rPr>
        <w:t>2022-2030年规划期内，共规划建设99个重大项目，总投资5.556亿元，其中：近期(2022-2025)规划建设项目75个，投资3.123亿元；远期(2026-2030)规划建设项目24个，投资2.433亿元。</w:t>
      </w:r>
      <w:r>
        <w:rPr>
          <w:rFonts w:hint="eastAsia" w:ascii="仿宋_GB2312"/>
        </w:rPr>
        <w:t>近期建设内容主要包括大熊猫及其栖息地保护、自然教育与生态体验部分场馆及配套设施、保护监测等基础设施及配套设施建设，以安排与保护、监测、宣教等需要迫切解决的配套设施设备等问题为主。远期建设内容主要包括生物多样性与生态系统保护建设、</w:t>
      </w:r>
      <w:r>
        <w:rPr>
          <w:rFonts w:hint="eastAsia" w:ascii="仿宋_GB2312" w:cs="方正小标宋简体"/>
        </w:rPr>
        <w:t>科技支撑平台建设、</w:t>
      </w:r>
      <w:r>
        <w:rPr>
          <w:rFonts w:hint="eastAsia" w:ascii="仿宋_GB2312"/>
        </w:rPr>
        <w:t>监测体系及配套设施建设，完善自然教育与生态体验项目体系，构建绿色可持续的配套服务设施体系。</w:t>
      </w:r>
    </w:p>
    <w:p>
      <w:pPr>
        <w:spacing w:line="578" w:lineRule="exact"/>
        <w:ind w:firstLine="643" w:firstLineChars="200"/>
        <w:rPr>
          <w:rFonts w:ascii="仿宋_GB2312" w:cs="仿宋_GB2312"/>
        </w:rPr>
      </w:pPr>
      <w:r>
        <w:rPr>
          <w:rFonts w:hint="eastAsia" w:ascii="楷体_GB2312" w:eastAsia="楷体_GB2312"/>
          <w:b/>
          <w:lang w:val="zh-CN"/>
        </w:rPr>
        <w:t>（三）项目资金申报相符性。</w:t>
      </w:r>
      <w:r>
        <w:rPr>
          <w:rFonts w:hint="eastAsia" w:ascii="仿宋_GB2312"/>
          <w:color w:val="000000"/>
        </w:rPr>
        <w:t>为高质量推进大熊猫国家公园阿坝片区建设，依据</w:t>
      </w:r>
      <w:r>
        <w:rPr>
          <w:rFonts w:hint="eastAsia" w:ascii="仿宋_GB2312" w:cs="宋体"/>
          <w:color w:val="000000"/>
        </w:rPr>
        <w:t>《国家主体功能区规划》、《全国重要生态系统保护和修复重大工程总体规划（2021-2035）》、《大熊猫国家公园总体规划》以及《大熊猫国家公园四川片区总体规划》等，编制《大熊猫国家公园阿坝片区规划》。</w:t>
      </w:r>
      <w:r>
        <w:rPr>
          <w:rFonts w:hint="eastAsia" w:ascii="仿宋_GB2312" w:cs="仿宋_GB2312"/>
        </w:rPr>
        <w:t>与</w:t>
      </w:r>
      <w:r>
        <w:rPr>
          <w:rFonts w:hint="eastAsia" w:ascii="仿宋_GB2312"/>
          <w:lang w:val="zh-CN"/>
        </w:rPr>
        <w:t>项目资金申报相符</w:t>
      </w:r>
      <w:r>
        <w:rPr>
          <w:rFonts w:ascii="仿宋_GB2312"/>
          <w:lang w:val="zh-CN"/>
        </w:rPr>
        <w:t>。</w:t>
      </w:r>
    </w:p>
    <w:p>
      <w:pPr>
        <w:adjustRightInd w:val="0"/>
        <w:snapToGrid w:val="0"/>
        <w:spacing w:line="578" w:lineRule="exact"/>
        <w:ind w:firstLine="720"/>
        <w:rPr>
          <w:rFonts w:ascii="黑体" w:eastAsia="黑体"/>
        </w:rPr>
      </w:pPr>
      <w:r>
        <w:rPr>
          <w:rFonts w:hint="eastAsia" w:ascii="黑体" w:eastAsia="黑体"/>
        </w:rPr>
        <w:t>二、项目实施及管理情况</w:t>
      </w:r>
    </w:p>
    <w:p>
      <w:pPr>
        <w:adjustRightInd w:val="0"/>
        <w:snapToGrid w:val="0"/>
        <w:spacing w:line="578" w:lineRule="exact"/>
        <w:ind w:firstLine="720"/>
        <w:rPr>
          <w:rFonts w:ascii="楷体_GB2312" w:eastAsia="楷体_GB2312"/>
          <w:b/>
          <w:lang w:val="zh-CN"/>
        </w:rPr>
      </w:pPr>
      <w:r>
        <w:rPr>
          <w:rFonts w:hint="eastAsia" w:ascii="仿宋_GB2312"/>
          <w:lang w:val="zh-CN"/>
        </w:rPr>
        <w:tab/>
      </w:r>
      <w:r>
        <w:rPr>
          <w:rFonts w:hint="eastAsia" w:ascii="楷体_GB2312" w:eastAsia="楷体_GB2312"/>
          <w:b/>
          <w:lang w:val="zh-CN"/>
        </w:rPr>
        <w:t>（一）资金计划、到位及使用情况。</w:t>
      </w:r>
    </w:p>
    <w:p>
      <w:pPr>
        <w:spacing w:line="578" w:lineRule="exact"/>
        <w:ind w:firstLine="643" w:firstLineChars="200"/>
        <w:rPr>
          <w:rFonts w:hint="eastAsia" w:ascii="仿宋_GB2312"/>
        </w:rPr>
      </w:pPr>
      <w:r>
        <w:rPr>
          <w:rFonts w:hint="eastAsia" w:ascii="仿宋_GB2312"/>
          <w:b/>
          <w:lang w:val="zh-CN"/>
        </w:rPr>
        <w:t>1．资金计划及到位。</w:t>
      </w:r>
      <w:r>
        <w:rPr>
          <w:rFonts w:hint="eastAsia" w:ascii="仿宋_GB2312"/>
        </w:rPr>
        <w:t>资金来源为</w:t>
      </w:r>
      <w:r>
        <w:rPr>
          <w:rFonts w:hint="eastAsia" w:ascii="仿宋_GB2312" w:cs="宋体"/>
        </w:rPr>
        <w:t>2022年州本级财政</w:t>
      </w:r>
      <w:r>
        <w:rPr>
          <w:rFonts w:hint="eastAsia" w:ascii="仿宋_GB2312"/>
        </w:rPr>
        <w:t>预算资金80万元。</w:t>
      </w:r>
    </w:p>
    <w:p>
      <w:pPr>
        <w:pStyle w:val="6"/>
        <w:spacing w:line="578" w:lineRule="exact"/>
        <w:ind w:firstLine="643" w:firstLineChars="200"/>
        <w:rPr>
          <w:rFonts w:hint="eastAsia" w:ascii="仿宋_GB2312" w:eastAsia="仿宋_GB2312"/>
          <w:lang w:val="zh-CN"/>
        </w:rPr>
      </w:pPr>
      <w:r>
        <w:rPr>
          <w:rFonts w:hint="eastAsia" w:ascii="仿宋_GB2312" w:eastAsia="仿宋_GB2312" w:cs="Times New Roman"/>
          <w:b/>
          <w:sz w:val="32"/>
          <w:szCs w:val="32"/>
          <w:lang w:val="zh-CN"/>
        </w:rPr>
        <w:t>2．资金使用。</w:t>
      </w:r>
      <w:r>
        <w:rPr>
          <w:rFonts w:hint="eastAsia" w:ascii="仿宋_GB2312" w:eastAsia="仿宋_GB2312" w:cs="Times New Roman"/>
          <w:sz w:val="32"/>
          <w:szCs w:val="32"/>
        </w:rPr>
        <w:t>依据</w:t>
      </w:r>
      <w:r>
        <w:rPr>
          <w:rFonts w:hint="eastAsia" w:ascii="仿宋_GB2312" w:eastAsia="仿宋_GB2312"/>
          <w:sz w:val="32"/>
          <w:szCs w:val="32"/>
        </w:rPr>
        <w:t>合同约定，费用分两次支付：</w:t>
      </w:r>
      <w:r>
        <w:rPr>
          <w:rFonts w:hint="eastAsia" w:ascii="仿宋_GB2312" w:eastAsia="仿宋_GB2312" w:cs="Times New Roman"/>
          <w:bCs/>
          <w:sz w:val="32"/>
          <w:szCs w:val="32"/>
        </w:rPr>
        <w:t>完成初稿通过初审后支付合同金额的50%，</w:t>
      </w:r>
      <w:r>
        <w:rPr>
          <w:rFonts w:hint="eastAsia" w:ascii="仿宋_GB2312" w:eastAsia="仿宋_GB2312"/>
          <w:bCs/>
          <w:sz w:val="32"/>
          <w:szCs w:val="32"/>
        </w:rPr>
        <w:t>通过专家评审并通过政府审批后支付剩余50%。</w:t>
      </w:r>
      <w:r>
        <w:rPr>
          <w:rFonts w:hint="eastAsia" w:ascii="仿宋_GB2312" w:eastAsia="仿宋_GB2312" w:cs="方正小标宋简体"/>
          <w:sz w:val="32"/>
          <w:szCs w:val="32"/>
        </w:rPr>
        <w:t>受疫情影响，进度被迫延缓，9月底</w:t>
      </w:r>
      <w:r>
        <w:rPr>
          <w:rFonts w:hint="eastAsia" w:ascii="仿宋_GB2312" w:eastAsia="仿宋_GB2312"/>
          <w:sz w:val="32"/>
          <w:szCs w:val="32"/>
        </w:rPr>
        <w:t>完成初稿编制，提交各部室、各管理总站初审后依照合同约定已支付合同价款50%金额，即39.5万元；</w:t>
      </w:r>
      <w:r>
        <w:rPr>
          <w:rFonts w:hint="eastAsia" w:ascii="仿宋_GB2312" w:eastAsia="仿宋_GB2312" w:cs="宋体"/>
          <w:color w:val="000000"/>
          <w:sz w:val="32"/>
          <w:szCs w:val="32"/>
        </w:rPr>
        <w:t>待通过专家评审报州政府审批后支付合同金额剩余50%金额，2022年只支付了50%，因州本级资金无法结转，财政要求在编制2023年部门预算时继续登记、入库此项目，剩余资金40.5万元在2023年度项目实施完成后按合同约定完成支付。</w:t>
      </w:r>
    </w:p>
    <w:p>
      <w:pPr>
        <w:adjustRightInd w:val="0"/>
        <w:snapToGrid w:val="0"/>
        <w:spacing w:line="578" w:lineRule="exact"/>
        <w:ind w:firstLine="720"/>
        <w:rPr>
          <w:rFonts w:ascii="楷体_GB2312" w:eastAsia="楷体_GB2312"/>
          <w:b/>
          <w:lang w:val="zh-CN"/>
        </w:rPr>
      </w:pPr>
      <w:r>
        <w:rPr>
          <w:rFonts w:hint="eastAsia" w:ascii="楷体_GB2312" w:eastAsia="楷体_GB2312"/>
          <w:b/>
          <w:lang w:val="zh-CN"/>
        </w:rPr>
        <w:t>（二）项目财务管理情况。</w:t>
      </w:r>
    </w:p>
    <w:p>
      <w:pPr>
        <w:adjustRightInd w:val="0"/>
        <w:snapToGrid w:val="0"/>
        <w:spacing w:line="578" w:lineRule="exact"/>
        <w:ind w:firstLine="464" w:firstLineChars="145"/>
        <w:rPr>
          <w:rFonts w:hint="eastAsia" w:ascii="仿宋_GB2312"/>
        </w:rPr>
      </w:pPr>
      <w:r>
        <w:rPr>
          <w:rFonts w:hint="eastAsia" w:ascii="仿宋_GB2312"/>
          <w:lang w:val="zh-CN"/>
        </w:rPr>
        <w:t>严格执行财务管理制度</w:t>
      </w:r>
      <w:r>
        <w:rPr>
          <w:rFonts w:ascii="仿宋_GB2312"/>
          <w:lang w:val="zh-CN"/>
        </w:rPr>
        <w:t>，</w:t>
      </w:r>
      <w:r>
        <w:rPr>
          <w:rFonts w:hint="eastAsia" w:ascii="仿宋_GB2312"/>
          <w:lang w:val="zh-CN"/>
        </w:rPr>
        <w:t>规范资金支付了流程</w:t>
      </w:r>
      <w:r>
        <w:rPr>
          <w:rFonts w:ascii="仿宋_GB2312"/>
          <w:lang w:val="zh-CN"/>
        </w:rPr>
        <w:t>，</w:t>
      </w:r>
      <w:r>
        <w:rPr>
          <w:rFonts w:hint="eastAsia" w:ascii="仿宋_GB2312"/>
          <w:lang w:val="zh-CN"/>
        </w:rPr>
        <w:t>会计核算规范。</w:t>
      </w:r>
      <w:r>
        <w:rPr>
          <w:rFonts w:ascii="仿宋_GB2312"/>
        </w:rPr>
        <w:t>确保资金使用符合法律法规和</w:t>
      </w:r>
      <w:r>
        <w:rPr>
          <w:rFonts w:hint="eastAsia" w:ascii="仿宋_GB2312"/>
        </w:rPr>
        <w:t>财经</w:t>
      </w:r>
      <w:r>
        <w:rPr>
          <w:rFonts w:ascii="仿宋_GB2312"/>
        </w:rPr>
        <w:t>纪律。同时，对资金的使用也加强了监管，防止出现误用、挪用等行为。</w:t>
      </w:r>
    </w:p>
    <w:p>
      <w:pPr>
        <w:adjustRightInd w:val="0"/>
        <w:snapToGrid w:val="0"/>
        <w:spacing w:line="578" w:lineRule="exact"/>
        <w:ind w:left="640" w:leftChars="200" w:firstLine="80" w:firstLineChars="25"/>
        <w:rPr>
          <w:rFonts w:ascii="楷体_GB2312" w:eastAsia="楷体_GB2312"/>
          <w:b/>
          <w:lang w:val="zh-CN"/>
        </w:rPr>
      </w:pPr>
      <w:r>
        <w:rPr>
          <w:rFonts w:hint="eastAsia" w:ascii="楷体_GB2312" w:eastAsia="楷体_GB2312"/>
          <w:b/>
          <w:lang w:val="zh-CN"/>
        </w:rPr>
        <w:t>（三）项目组织实施情况。</w:t>
      </w:r>
    </w:p>
    <w:p>
      <w:pPr>
        <w:spacing w:line="578" w:lineRule="exact"/>
        <w:ind w:firstLine="640" w:firstLineChars="200"/>
        <w:rPr>
          <w:rFonts w:hint="eastAsia" w:ascii="仿宋_GB2312"/>
          <w:lang w:val="zh-CN"/>
        </w:rPr>
      </w:pPr>
      <w:r>
        <w:rPr>
          <w:rFonts w:hint="eastAsia" w:ascii="仿宋_GB2312"/>
        </w:rPr>
        <w:t>资金来源为</w:t>
      </w:r>
      <w:r>
        <w:rPr>
          <w:rFonts w:hint="eastAsia" w:ascii="仿宋_GB2312" w:cs="宋体"/>
        </w:rPr>
        <w:t>2022年州本级财政</w:t>
      </w:r>
      <w:r>
        <w:rPr>
          <w:rFonts w:hint="eastAsia" w:ascii="仿宋_GB2312"/>
        </w:rPr>
        <w:t>预算资金80万元，按照政府采购相关规定，所采购服务不属于政府集中采购范围，总额也不到公开招标额度，故委托第三方代理机构进行采购。采购领导小组成员分别从中国政府采购网政府采购代理机构名单中随机选取五家代理机构，通过对五家机构的公司规模、专职人员情况等综合因素进行对比后一致决定推荐圣弘建设股份有限公司咨询有限公司负责此次编制服务采购项目招标代理服务相关工作。2022年1月完成规划编制服务采购计划备案和意向公开后，3月初委托代理机构采取竞争性磋商的采购方式，确定国家林业和草原局调查规划设计院为此次规划编制服务机构，中标价79万元。4月初完成《大熊猫国家公园阿坝片区规划》编制合同签订</w:t>
      </w:r>
      <w:r>
        <w:rPr>
          <w:rFonts w:hint="eastAsia" w:ascii="仿宋_GB2312"/>
          <w:bCs/>
        </w:rPr>
        <w:t>，</w:t>
      </w:r>
      <w:r>
        <w:rPr>
          <w:rFonts w:hint="eastAsia" w:ascii="仿宋_GB2312"/>
        </w:rPr>
        <w:t>按程序履行合同公告及备案相关工作。</w:t>
      </w:r>
    </w:p>
    <w:p>
      <w:pPr>
        <w:adjustRightInd w:val="0"/>
        <w:snapToGrid w:val="0"/>
        <w:spacing w:line="578" w:lineRule="exact"/>
        <w:ind w:firstLine="720"/>
        <w:rPr>
          <w:rFonts w:ascii="仿宋_GB2312"/>
          <w:lang w:val="zh-CN"/>
        </w:rPr>
      </w:pPr>
      <w:r>
        <w:rPr>
          <w:rFonts w:hint="eastAsia" w:ascii="黑体" w:eastAsia="黑体"/>
        </w:rPr>
        <w:t>三、项目绩效情况</w:t>
      </w:r>
      <w:r>
        <w:rPr>
          <w:rFonts w:hint="eastAsia" w:ascii="仿宋_GB2312"/>
          <w:lang w:val="zh-CN"/>
        </w:rPr>
        <w:tab/>
      </w:r>
    </w:p>
    <w:p>
      <w:pPr>
        <w:adjustRightInd w:val="0"/>
        <w:snapToGrid w:val="0"/>
        <w:spacing w:line="578" w:lineRule="exact"/>
        <w:ind w:firstLine="720"/>
        <w:rPr>
          <w:rFonts w:ascii="楷体_GB2312" w:eastAsia="楷体_GB2312"/>
          <w:b/>
          <w:lang w:val="zh-CN"/>
        </w:rPr>
      </w:pPr>
      <w:r>
        <w:rPr>
          <w:rFonts w:hint="eastAsia" w:ascii="楷体_GB2312" w:eastAsia="楷体_GB2312"/>
          <w:b/>
          <w:lang w:val="zh-CN"/>
        </w:rPr>
        <w:t>（一）项目完成情况。</w:t>
      </w:r>
    </w:p>
    <w:p>
      <w:pPr>
        <w:adjustRightInd w:val="0"/>
        <w:snapToGrid w:val="0"/>
        <w:spacing w:line="578" w:lineRule="exact"/>
        <w:ind w:firstLine="720"/>
        <w:rPr>
          <w:rFonts w:hint="eastAsia" w:ascii="仿宋_GB2312"/>
          <w:color w:val="000000"/>
        </w:rPr>
      </w:pPr>
      <w:r>
        <w:rPr>
          <w:rFonts w:hint="eastAsia" w:ascii="仿宋_GB2312"/>
          <w:color w:val="000000"/>
        </w:rPr>
        <w:t>2022-2030年规划期内，共规划建设99个重大项目，总投资5.556亿元，其中：近期(2022-2025)规划建设项目75个，投资3.123亿元；远期(2026-2030)规划建设项目24个，投资2.433亿元。预计2023年6月送专家评审，通过后正式印发。</w:t>
      </w:r>
    </w:p>
    <w:p>
      <w:pPr>
        <w:numPr>
          <w:ilvl w:val="0"/>
          <w:numId w:val="1"/>
        </w:numPr>
        <w:adjustRightInd w:val="0"/>
        <w:snapToGrid w:val="0"/>
        <w:spacing w:line="578" w:lineRule="exact"/>
        <w:ind w:firstLine="720"/>
        <w:rPr>
          <w:rFonts w:hint="eastAsia" w:ascii="仿宋_GB2312"/>
          <w:color w:val="000000"/>
        </w:rPr>
      </w:pPr>
      <w:r>
        <w:rPr>
          <w:rFonts w:hint="eastAsia" w:ascii="楷体_GB2312" w:eastAsia="楷体_GB2312"/>
          <w:b/>
          <w:lang w:val="zh-CN"/>
        </w:rPr>
        <w:t>项目效益情况。</w:t>
      </w:r>
      <w:r>
        <w:rPr>
          <w:rFonts w:hint="eastAsia" w:ascii="仿宋_GB2312" w:cs="宋体"/>
          <w:color w:val="000000"/>
        </w:rPr>
        <w:t>该规划</w:t>
      </w:r>
      <w:r>
        <w:rPr>
          <w:rFonts w:hint="eastAsia" w:ascii="仿宋_GB2312"/>
          <w:color w:val="000000"/>
        </w:rPr>
        <w:t>深入分析阿坝园区实际，保护优先，以提供普惠生态产品为目标，社区绿色发展为保障，科技为支撑，围绕保护体系规划、服务体系规划、社区发展规划、管理体系规划等方面，提出建设目标及实施的具体措施。</w:t>
      </w:r>
    </w:p>
    <w:p>
      <w:pPr>
        <w:adjustRightInd w:val="0"/>
        <w:snapToGrid w:val="0"/>
        <w:spacing w:line="578" w:lineRule="exact"/>
        <w:ind w:firstLine="640" w:firstLineChars="200"/>
        <w:rPr>
          <w:rFonts w:ascii="黑体" w:eastAsia="黑体"/>
        </w:rPr>
      </w:pPr>
      <w:r>
        <w:rPr>
          <w:rFonts w:hint="eastAsia" w:ascii="黑体" w:eastAsia="黑体"/>
        </w:rPr>
        <w:t>四、问题及建议</w:t>
      </w:r>
    </w:p>
    <w:p>
      <w:pPr>
        <w:adjustRightInd w:val="0"/>
        <w:snapToGrid w:val="0"/>
        <w:spacing w:line="578" w:lineRule="exact"/>
        <w:ind w:firstLine="720"/>
        <w:rPr>
          <w:rFonts w:ascii="楷体_GB2312" w:eastAsia="楷体_GB2312"/>
          <w:b/>
        </w:rPr>
      </w:pPr>
      <w:r>
        <w:rPr>
          <w:rFonts w:hint="eastAsia" w:ascii="楷体_GB2312" w:eastAsia="楷体_GB2312"/>
          <w:b/>
          <w:lang w:val="zh-CN"/>
        </w:rPr>
        <w:t>（一）存在的问题。</w:t>
      </w:r>
      <w:r>
        <w:rPr>
          <w:rFonts w:hint="eastAsia" w:ascii="楷体_GB2312" w:eastAsia="楷体_GB2312"/>
          <w:b/>
        </w:rPr>
        <w:t>无。</w:t>
      </w:r>
    </w:p>
    <w:p>
      <w:pPr>
        <w:adjustRightInd w:val="0"/>
        <w:snapToGrid w:val="0"/>
        <w:spacing w:line="578" w:lineRule="exact"/>
        <w:ind w:firstLine="720"/>
        <w:rPr>
          <w:rFonts w:ascii="仿宋_GB2312" w:eastAsia="楷体_GB2312"/>
        </w:rPr>
      </w:pPr>
      <w:r>
        <w:rPr>
          <w:rFonts w:hint="eastAsia" w:ascii="楷体_GB2312" w:eastAsia="楷体_GB2312"/>
          <w:b/>
          <w:lang w:val="zh-CN"/>
        </w:rPr>
        <w:t>（二）相关建议。</w:t>
      </w:r>
      <w:r>
        <w:rPr>
          <w:rFonts w:hint="eastAsia" w:ascii="仿宋_GB2312" w:eastAsia="楷体_GB2312"/>
        </w:rPr>
        <w:t>无。</w:t>
      </w:r>
    </w:p>
    <w:p>
      <w:pPr>
        <w:spacing w:line="578" w:lineRule="exact"/>
        <w:rPr>
          <w:rFonts w:hint="eastAsia"/>
          <w:lang w:val="en-US" w:eastAsia="zh-CN"/>
        </w:rPr>
      </w:pPr>
    </w:p>
    <w:p>
      <w:pPr>
        <w:spacing w:line="578" w:lineRule="exact"/>
        <w:ind w:firstLine="640" w:firstLineChars="200"/>
        <w:rPr>
          <w:rFonts w:hint="eastAsia"/>
        </w:rPr>
      </w:pPr>
      <w:r>
        <w:rPr>
          <w:rFonts w:hint="eastAsia"/>
          <w:lang w:val="en-US" w:eastAsia="zh-CN"/>
        </w:rPr>
        <w:t>附件：</w:t>
      </w:r>
      <w:r>
        <w:rPr>
          <w:rFonts w:hint="eastAsia"/>
        </w:rPr>
        <w:t>2023年州级专项预算绩效评价指标体系</w:t>
      </w:r>
    </w:p>
    <w:p>
      <w:pPr>
        <w:pStyle w:val="2"/>
        <w:rPr>
          <w:rFonts w:hint="eastAsia"/>
        </w:rPr>
      </w:pPr>
    </w:p>
    <w:p>
      <w:pPr>
        <w:rPr>
          <w:rFonts w:hint="eastAsia"/>
        </w:rPr>
      </w:pPr>
    </w:p>
    <w:p>
      <w:pPr>
        <w:pStyle w:val="2"/>
        <w:rPr>
          <w:rFonts w:hint="eastAsia"/>
        </w:rPr>
      </w:pPr>
    </w:p>
    <w:p>
      <w:pPr>
        <w:rPr>
          <w:rFonts w:hint="eastAsia"/>
        </w:rPr>
      </w:pPr>
    </w:p>
    <w:p>
      <w:pPr>
        <w:pStyle w:val="2"/>
        <w:rPr>
          <w:rFonts w:hint="eastAsia"/>
        </w:rPr>
      </w:pPr>
    </w:p>
    <w:p>
      <w:pPr>
        <w:rPr>
          <w:rFonts w:hint="eastAsia"/>
        </w:rPr>
      </w:pPr>
    </w:p>
    <w:p>
      <w:pPr>
        <w:rPr>
          <w:rFonts w:hint="eastAsia"/>
        </w:rPr>
        <w:sectPr>
          <w:pgSz w:w="11906" w:h="16838"/>
          <w:pgMar w:top="1440" w:right="1800" w:bottom="1440" w:left="1800" w:header="851" w:footer="992" w:gutter="0"/>
          <w:cols w:space="720" w:num="1"/>
          <w:docGrid w:type="lines" w:linePitch="312" w:charSpace="0"/>
        </w:sectPr>
      </w:pPr>
    </w:p>
    <w:p>
      <w:pPr>
        <w:pStyle w:val="2"/>
        <w:tabs>
          <w:tab w:val="left" w:pos="210"/>
        </w:tabs>
        <w:ind w:left="0" w:leftChars="0" w:firstLine="0" w:firstLineChars="0"/>
        <w:rPr>
          <w:rFonts w:hint="eastAsia" w:eastAsia="仿宋_GB2312"/>
          <w:lang w:eastAsia="zh-CN"/>
        </w:rPr>
      </w:pPr>
      <w:bookmarkStart w:id="0" w:name="_GoBack"/>
      <w:r>
        <w:rPr>
          <w:rFonts w:hint="eastAsia" w:eastAsia="仿宋_GB2312"/>
          <w:lang w:eastAsia="zh-CN"/>
        </w:rPr>
        <w:object>
          <v:shape id="_x0000_i1029" o:spt="75" type="#_x0000_t75" style="height:500.9pt;width:697.8pt;" o:ole="t" filled="f" o:preferrelative="t" stroked="f" coordsize="21600,21600">
            <v:path/>
            <v:fill on="f" focussize="0,0"/>
            <v:stroke on="f"/>
            <v:imagedata r:id="rId5" o:title=""/>
            <o:lock v:ext="edit" aspectratio="f"/>
            <w10:wrap type="none"/>
            <w10:anchorlock/>
          </v:shape>
          <o:OLEObject Type="Embed" ProgID="Excel.Sheet.12" ShapeID="_x0000_i1029" DrawAspect="Content" ObjectID="_1468075725" r:id="rId4">
            <o:LockedField>false</o:LockedField>
          </o:OLEObject>
        </w:object>
      </w:r>
      <w:bookmarkEnd w:id="0"/>
    </w:p>
    <w:sectPr>
      <w:pgSz w:w="16838" w:h="11906" w:orient="landscape"/>
      <w:pgMar w:top="1800" w:right="1440" w:bottom="1800" w:left="144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
    <w:altName w:val="仿宋_GB2312"/>
    <w:panose1 w:val="00000000000000000000"/>
    <w:charset w:val="00"/>
    <w:family w:val="roman"/>
    <w:pitch w:val="default"/>
    <w:sig w:usb0="00000000" w:usb1="00000000" w:usb2="00000000" w:usb3="00000000" w:csb0="00000000" w:csb1="00000000"/>
  </w:font>
  <w:font w:name="方正小标宋简体">
    <w:panose1 w:val="02010601030101010101"/>
    <w:charset w:val="86"/>
    <w:family w:val="auto"/>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A569021"/>
    <w:multiLevelType w:val="singleLevel"/>
    <w:tmpl w:val="9A569021"/>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dit="readOnly" w:enforcement="0"/>
  <w:defaultTabStop w:val="420"/>
  <w:drawingGridHorizontalSpacing w:val="160"/>
  <w:drawingGridVerticalSpacing w:val="156"/>
  <w:displayHorizontalDrawingGridEvery w:val="0"/>
  <w:displayVerticalDrawingGridEvery w:val="2"/>
  <w:characterSpacingControl w:val="compressPunctuation"/>
  <w:compat>
    <w:spaceForUL/>
    <w:balanceSingleByteDoubleByteWidth/>
    <w:ulTrailSpace/>
    <w:doNotExpandShiftReturn/>
    <w:adjustLineHeightInTable/>
    <w:useFELayout/>
    <w:compatSetting w:name="compatibilityMode" w:uri="http://schemas.microsoft.com/office/word" w:val="12"/>
  </w:compat>
  <w:docVars>
    <w:docVar w:name="commondata" w:val="eyJoZGlkIjoiODkwMjBiMDE0NDAzMDYwOGJjM2NjMzIxY2I3MmFjYzYifQ=="/>
    <w:docVar w:name="KSO_WPS_MARK_KEY" w:val="d0948d92-2e7b-4223-ab8b-871dffef64d8"/>
  </w:docVars>
  <w:rsids>
    <w:rsidRoot w:val="00E66C12"/>
    <w:rsid w:val="0011652A"/>
    <w:rsid w:val="00146993"/>
    <w:rsid w:val="001B4B8C"/>
    <w:rsid w:val="00445006"/>
    <w:rsid w:val="00545B5C"/>
    <w:rsid w:val="005854D2"/>
    <w:rsid w:val="005A5E6E"/>
    <w:rsid w:val="0070776D"/>
    <w:rsid w:val="007E306E"/>
    <w:rsid w:val="008414DD"/>
    <w:rsid w:val="008D37B5"/>
    <w:rsid w:val="00942EE0"/>
    <w:rsid w:val="00A943C0"/>
    <w:rsid w:val="00CD3C60"/>
    <w:rsid w:val="00E66C12"/>
    <w:rsid w:val="00F71D33"/>
    <w:rsid w:val="3EDC5BCF"/>
    <w:rsid w:val="45B44BA1"/>
    <w:rsid w:val="7FF66C5D"/>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qFormat="1"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qFormat/>
    <w:uiPriority w:val="0"/>
    <w:pPr>
      <w:keepNext/>
      <w:keepLines/>
      <w:spacing w:before="340" w:after="330" w:line="578" w:lineRule="auto"/>
      <w:outlineLvl w:val="0"/>
    </w:pPr>
    <w:rPr>
      <w:b/>
      <w:bCs/>
      <w:kern w:val="44"/>
      <w:sz w:val="44"/>
      <w:szCs w:val="44"/>
    </w:rPr>
  </w:style>
  <w:style w:type="paragraph" w:styleId="4">
    <w:name w:val="heading 2"/>
    <w:basedOn w:val="1"/>
    <w:next w:val="1"/>
    <w:qFormat/>
    <w:uiPriority w:val="0"/>
    <w:pPr>
      <w:keepNext/>
      <w:keepLines/>
      <w:spacing w:before="260" w:after="260" w:line="415" w:lineRule="auto"/>
      <w:outlineLvl w:val="1"/>
    </w:pPr>
    <w:rPr>
      <w:rFonts w:eastAsia="黑体"/>
      <w:b/>
      <w:bCs/>
    </w:rPr>
  </w:style>
  <w:style w:type="paragraph" w:styleId="5">
    <w:name w:val="heading 3"/>
    <w:basedOn w:val="1"/>
    <w:next w:val="1"/>
    <w:qFormat/>
    <w:uiPriority w:val="0"/>
    <w:pPr>
      <w:keepNext/>
      <w:keepLines/>
      <w:spacing w:before="260" w:after="260" w:line="415" w:lineRule="auto"/>
      <w:outlineLvl w:val="2"/>
    </w:pPr>
    <w:rPr>
      <w:b/>
      <w:bCs/>
    </w:rPr>
  </w:style>
  <w:style w:type="character" w:default="1" w:styleId="9">
    <w:name w:val="Default Paragraph Font"/>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index 5"/>
    <w:basedOn w:val="1"/>
    <w:next w:val="1"/>
    <w:qFormat/>
    <w:uiPriority w:val="0"/>
    <w:pPr>
      <w:ind w:left="1680"/>
    </w:pPr>
  </w:style>
  <w:style w:type="paragraph" w:styleId="6">
    <w:name w:val="Plain Text"/>
    <w:basedOn w:val="1"/>
    <w:next w:val="7"/>
    <w:qFormat/>
    <w:uiPriority w:val="0"/>
    <w:rPr>
      <w:rFonts w:ascii="宋体" w:eastAsia="宋体" w:cs="Courier New"/>
      <w:sz w:val="21"/>
      <w:szCs w:val="21"/>
    </w:rPr>
  </w:style>
  <w:style w:type="paragraph" w:styleId="7">
    <w:name w:val="Normal (Web)"/>
    <w:basedOn w:val="1"/>
    <w:next w:val="6"/>
    <w:qFormat/>
    <w:uiPriority w:val="0"/>
    <w:pPr>
      <w:suppressAutoHyphens/>
      <w:spacing w:before="100" w:beforeAutospacing="1" w:after="100" w:afterAutospacing="1"/>
      <w:jc w:val="left"/>
    </w:pPr>
    <w:rPr>
      <w:rFonts w:ascii="Calibri" w:hAnsi="Calibri" w:eastAsia="宋体"/>
      <w:kern w:val="0"/>
      <w:sz w:val="24"/>
      <w:szCs w:val="24"/>
    </w:rPr>
  </w:style>
  <w:style w:type="paragraph" w:customStyle="1" w:styleId="10">
    <w:name w:val="四号正文"/>
    <w:basedOn w:val="1"/>
    <w:qFormat/>
    <w:uiPriority w:val="0"/>
    <w:pPr>
      <w:spacing w:line="360" w:lineRule="auto"/>
    </w:pPr>
    <w:rPr>
      <w:rFonts w:ascii="??" w:hAnsi="??" w:eastAsia="宋体"/>
      <w:color w:val="000000"/>
      <w:kern w:val="0"/>
      <w:sz w:val="28"/>
      <w:szCs w:val="21"/>
      <w:lang w:val="zh-CN"/>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image" Target="media/image1.emf"/><Relationship Id="rId4" Type="http://schemas.openxmlformats.org/officeDocument/2006/relationships/oleObject" Target="embeddings/oleObject1.bin"/><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4</Pages>
  <Words>1790</Words>
  <Characters>1950</Characters>
  <Lines>13</Lines>
  <Paragraphs>3</Paragraphs>
  <TotalTime>8</TotalTime>
  <ScaleCrop>false</ScaleCrop>
  <LinksUpToDate>false</LinksUpToDate>
  <CharactersWithSpaces>1952</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2020-06-30T16:19:00Z</dcterms:created>
  <dc:creator>Administrator</dc:creator>
  <cp:lastModifiedBy>Lenovo</cp:lastModifiedBy>
  <dcterms:modified xsi:type="dcterms:W3CDTF">2023-06-30T01:45:34Z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439D5137982746EF88DD5320876FFE7B_13</vt:lpwstr>
  </property>
</Properties>
</file>